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A13" w:rsidRDefault="00300A13" w:rsidP="00300A13">
      <w:pPr>
        <w:pStyle w:val="FootnoteText"/>
        <w:rPr>
          <w:rFonts w:ascii="Arial" w:eastAsia="SimSun" w:hAnsi="Arial" w:cs="Arial"/>
          <w:b/>
          <w:bCs/>
          <w:noProof/>
          <w:lang w:eastAsia="zh-CN"/>
        </w:rPr>
      </w:pPr>
      <w:bookmarkStart w:id="0" w:name="OLE_LINK1"/>
      <w:bookmarkStart w:id="1" w:name="OLE_LINK2"/>
      <w:bookmarkStart w:id="2" w:name="_GoBack"/>
      <w:bookmarkEnd w:id="2"/>
      <w:r>
        <w:rPr>
          <w:rFonts w:ascii="Arial" w:eastAsia="SimSun" w:hAnsi="Arial" w:cs="Arial"/>
          <w:b/>
          <w:bCs/>
          <w:noProof/>
          <w:lang w:eastAsia="zh-CN"/>
        </w:rPr>
        <w:t>3GPP</w:t>
      </w:r>
      <w:r w:rsidR="005E1DC5">
        <w:rPr>
          <w:rFonts w:ascii="Arial" w:eastAsia="SimSun" w:hAnsi="Arial" w:cs="Arial"/>
          <w:b/>
          <w:bCs/>
          <w:noProof/>
          <w:lang w:eastAsia="zh-CN"/>
        </w:rPr>
        <w:t xml:space="preserve"> TSG RAN1 Meeting #82bis</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5E1DC5">
        <w:rPr>
          <w:rFonts w:ascii="Arial" w:eastAsia="SimSun" w:hAnsi="Arial" w:cs="Arial"/>
          <w:b/>
          <w:bCs/>
          <w:noProof/>
          <w:lang w:eastAsia="zh-CN"/>
        </w:rPr>
        <w:t>6</w:t>
      </w:r>
      <w:r w:rsidR="00477978">
        <w:rPr>
          <w:rFonts w:ascii="Arial" w:eastAsia="SimSun" w:hAnsi="Arial" w:cs="Arial"/>
          <w:b/>
          <w:bCs/>
          <w:noProof/>
          <w:lang w:eastAsia="zh-CN"/>
        </w:rPr>
        <w:t>020</w:t>
      </w:r>
    </w:p>
    <w:p w:rsidR="00300A13" w:rsidRDefault="00300A13" w:rsidP="00300A13">
      <w:pPr>
        <w:pStyle w:val="FootnoteText"/>
        <w:rPr>
          <w:rFonts w:ascii="Arial" w:eastAsia="SimSun" w:hAnsi="Arial" w:cs="Arial"/>
          <w:b/>
          <w:bCs/>
          <w:noProof/>
          <w:lang w:eastAsia="zh-CN"/>
        </w:rPr>
      </w:pPr>
      <w:r>
        <w:rPr>
          <w:rFonts w:ascii="Arial" w:eastAsia="SimSun" w:hAnsi="Arial" w:cs="Arial"/>
          <w:b/>
          <w:bCs/>
          <w:noProof/>
          <w:lang w:eastAsia="zh-CN"/>
        </w:rPr>
        <w:t>Malmö, Sweden, 5</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xml:space="preserve">– </w:t>
      </w:r>
      <w:r>
        <w:rPr>
          <w:rFonts w:ascii="Arial" w:eastAsia="SimSun" w:hAnsi="Arial" w:cs="Arial"/>
          <w:b/>
          <w:bCs/>
          <w:noProof/>
          <w:lang w:eastAsia="zh-CN"/>
        </w:rPr>
        <w:t>9</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October</w:t>
      </w:r>
      <w:r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t>Ericsson</w:t>
      </w:r>
    </w:p>
    <w:p w:rsidR="00F55A4D" w:rsidRDefault="00197EC1" w:rsidP="00197EC1">
      <w:pPr>
        <w:pStyle w:val="TdocHeader2"/>
        <w:rPr>
          <w:sz w:val="20"/>
        </w:rPr>
      </w:pPr>
      <w:r w:rsidRPr="004D0743">
        <w:rPr>
          <w:sz w:val="20"/>
          <w:lang w:val="en-US"/>
        </w:rPr>
        <w:t>Title:</w:t>
      </w:r>
      <w:bookmarkStart w:id="3" w:name="Title"/>
      <w:bookmarkEnd w:id="3"/>
      <w:r w:rsidRPr="004D0743">
        <w:rPr>
          <w:sz w:val="20"/>
          <w:lang w:val="en-US"/>
        </w:rPr>
        <w:tab/>
      </w:r>
      <w:r w:rsidR="003A2944" w:rsidRPr="003A2944">
        <w:rPr>
          <w:sz w:val="20"/>
        </w:rPr>
        <w:t xml:space="preserve">NB LTE – Battery lifetime evaluation in </w:t>
      </w:r>
      <w:proofErr w:type="spellStart"/>
      <w:r w:rsidR="003A3F67">
        <w:rPr>
          <w:sz w:val="20"/>
        </w:rPr>
        <w:t>inband</w:t>
      </w:r>
      <w:proofErr w:type="spellEnd"/>
      <w:r w:rsidR="003A2944" w:rsidRPr="003A2944">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3A3F67">
        <w:rPr>
          <w:sz w:val="20"/>
          <w:lang w:val="en-US"/>
        </w:rPr>
        <w:t>7.2.6.3.3</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3A2944" w:rsidRDefault="003A2944" w:rsidP="003A2944">
      <w:pPr>
        <w:pStyle w:val="BodyText"/>
      </w:pPr>
      <w:bookmarkStart w:id="7" w:name="_Ref421460494"/>
      <w:r w:rsidRPr="00E57B48">
        <w:t xml:space="preserve">At </w:t>
      </w:r>
      <w:r>
        <w:t xml:space="preserve">RAN#69 </w:t>
      </w:r>
      <w:r w:rsidRPr="00E57B48">
        <w:t xml:space="preserve">a new </w:t>
      </w:r>
      <w:r>
        <w:rPr>
          <w:lang w:val="en-US"/>
        </w:rPr>
        <w:t xml:space="preserve">work item on narrowband </w:t>
      </w:r>
      <w:proofErr w:type="spellStart"/>
      <w:r>
        <w:rPr>
          <w:lang w:val="en-US"/>
        </w:rPr>
        <w:t>IoT</w:t>
      </w:r>
      <w:proofErr w:type="spellEnd"/>
      <w:r>
        <w:rPr>
          <w:lang w:val="en-US"/>
        </w:rPr>
        <w:t xml:space="preserve"> was agreed. In this contribution </w:t>
      </w:r>
      <w:r w:rsidRPr="00067982">
        <w:t xml:space="preserve">an estimate of the battery lifetime for </w:t>
      </w:r>
      <w:r>
        <w:t>Narrowband LTE (NB-LTE)</w:t>
      </w:r>
      <w:r w:rsidRPr="00067982">
        <w:t xml:space="preserve"> devices </w:t>
      </w:r>
      <w:r w:rsidRPr="00E57B48">
        <w:t>is presented</w:t>
      </w:r>
      <w:r>
        <w:rPr>
          <w:lang w:val="en-US"/>
        </w:rPr>
        <w:t xml:space="preserve"> for the NB-LTE </w:t>
      </w:r>
      <w:r w:rsidR="006B214D">
        <w:rPr>
          <w:lang w:val="en-US"/>
        </w:rPr>
        <w:t xml:space="preserve">system as </w:t>
      </w:r>
      <w:r>
        <w:rPr>
          <w:lang w:val="en-US"/>
        </w:rPr>
        <w:t>described in</w:t>
      </w:r>
      <w:r w:rsidR="00B32C24">
        <w:rPr>
          <w:lang w:val="en-US"/>
        </w:rPr>
        <w:t xml:space="preserve"> </w:t>
      </w:r>
      <w:r w:rsidR="00B32C24">
        <w:rPr>
          <w:lang w:val="en-US"/>
        </w:rPr>
        <w:fldChar w:fldCharType="begin"/>
      </w:r>
      <w:r w:rsidR="00B32C24">
        <w:rPr>
          <w:lang w:val="en-US"/>
        </w:rPr>
        <w:instrText xml:space="preserve"> REF _Ref431245969 \r \h </w:instrText>
      </w:r>
      <w:r w:rsidR="00B32C24">
        <w:rPr>
          <w:lang w:val="en-US"/>
        </w:rPr>
      </w:r>
      <w:r w:rsidR="00B32C24">
        <w:rPr>
          <w:lang w:val="en-US"/>
        </w:rPr>
        <w:fldChar w:fldCharType="separate"/>
      </w:r>
      <w:r w:rsidR="00D73593">
        <w:rPr>
          <w:lang w:val="en-US"/>
        </w:rPr>
        <w:t>[2]</w:t>
      </w:r>
      <w:r w:rsidR="00B32C24">
        <w:rPr>
          <w:lang w:val="en-US"/>
        </w:rPr>
        <w:fldChar w:fldCharType="end"/>
      </w:r>
      <w:r>
        <w:rPr>
          <w:lang w:val="en-US"/>
        </w:rPr>
        <w:t xml:space="preserve"> </w:t>
      </w:r>
      <w:r w:rsidRPr="00E57B48">
        <w:t xml:space="preserve">following the methodology given in </w:t>
      </w:r>
      <w:r>
        <w:t>in TR45.820</w:t>
      </w:r>
      <w:r w:rsidR="00DD222A">
        <w:t xml:space="preserve"> </w:t>
      </w:r>
      <w:r w:rsidR="00DD222A">
        <w:fldChar w:fldCharType="begin"/>
      </w:r>
      <w:r w:rsidR="00DD222A">
        <w:instrText xml:space="preserve"> REF _Ref425332273 \r \h </w:instrText>
      </w:r>
      <w:r w:rsidR="00DD222A">
        <w:fldChar w:fldCharType="separate"/>
      </w:r>
      <w:r w:rsidR="00D73593">
        <w:t>[1]</w:t>
      </w:r>
      <w:r w:rsidR="00DD222A">
        <w:fldChar w:fldCharType="end"/>
      </w:r>
      <w:bookmarkEnd w:id="7"/>
      <w:r w:rsidR="008735E1">
        <w:t xml:space="preserve"> where t</w:t>
      </w:r>
      <w:r w:rsidR="008735E1">
        <w:rPr>
          <w:rFonts w:eastAsia="Malgun Gothic"/>
        </w:rPr>
        <w:t xml:space="preserve">he connection to the core network is assumed to be Gb based, since that </w:t>
      </w:r>
      <w:r w:rsidR="008735E1">
        <w:t>is what</w:t>
      </w:r>
      <w:r w:rsidR="008735E1" w:rsidRPr="00A94D11">
        <w:t xml:space="preserve"> has been agreed to be assumed in </w:t>
      </w:r>
      <w:r w:rsidR="008735E1">
        <w:t>the</w:t>
      </w:r>
      <w:r w:rsidR="008735E1" w:rsidRPr="00A94D11">
        <w:t xml:space="preserve"> GERAN study item</w:t>
      </w:r>
      <w:r w:rsidR="008735E1">
        <w:t xml:space="preserve">. </w:t>
      </w:r>
      <w:r w:rsidR="008735E1">
        <w:rPr>
          <w:rFonts w:eastAsia="Malgun Gothic"/>
        </w:rPr>
        <w:t xml:space="preserve">The evaluation is done in the same way as for the standalone case </w:t>
      </w:r>
      <w:r w:rsidR="008735E1">
        <w:rPr>
          <w:rFonts w:eastAsia="Malgun Gothic"/>
        </w:rPr>
        <w:fldChar w:fldCharType="begin"/>
      </w:r>
      <w:r w:rsidR="008735E1">
        <w:rPr>
          <w:rFonts w:eastAsia="Malgun Gothic"/>
        </w:rPr>
        <w:instrText xml:space="preserve"> REF _Ref431246495 \r \h </w:instrText>
      </w:r>
      <w:r w:rsidR="008735E1">
        <w:rPr>
          <w:rFonts w:eastAsia="Malgun Gothic"/>
        </w:rPr>
      </w:r>
      <w:r w:rsidR="008735E1">
        <w:rPr>
          <w:rFonts w:eastAsia="Malgun Gothic"/>
        </w:rPr>
        <w:fldChar w:fldCharType="separate"/>
      </w:r>
      <w:r w:rsidR="00D73593">
        <w:rPr>
          <w:rFonts w:eastAsia="Malgun Gothic"/>
        </w:rPr>
        <w:t>[3]</w:t>
      </w:r>
      <w:r w:rsidR="008735E1">
        <w:rPr>
          <w:rFonts w:eastAsia="Malgun Gothic"/>
        </w:rPr>
        <w:fldChar w:fldCharType="end"/>
      </w:r>
      <w:r w:rsidR="008735E1">
        <w:rPr>
          <w:rFonts w:eastAsia="Malgun Gothic"/>
        </w:rPr>
        <w:t xml:space="preserve"> and in particular the power model remains the same.</w:t>
      </w:r>
    </w:p>
    <w:p w:rsidR="001B4C46" w:rsidRDefault="001B4C46" w:rsidP="001B4C46">
      <w:pPr>
        <w:pStyle w:val="Heading1"/>
      </w:pPr>
      <w:r>
        <w:t>Energy consumption evaluation</w:t>
      </w:r>
    </w:p>
    <w:p w:rsidR="008735E1" w:rsidRDefault="008735E1" w:rsidP="008735E1">
      <w:pPr>
        <w:tabs>
          <w:tab w:val="left" w:pos="5580"/>
        </w:tabs>
        <w:rPr>
          <w:rFonts w:eastAsia="Malgun Gothic"/>
        </w:rPr>
      </w:pPr>
      <w:r>
        <w:rPr>
          <w:rFonts w:eastAsia="Malgun Gothic"/>
        </w:rPr>
        <w:t xml:space="preserve">Table </w:t>
      </w:r>
      <w:r w:rsidR="00D02EB4">
        <w:rPr>
          <w:rFonts w:eastAsia="Malgun Gothic"/>
        </w:rPr>
        <w:t>1</w:t>
      </w:r>
      <w:r>
        <w:rPr>
          <w:rFonts w:eastAsia="Malgun Gothic"/>
        </w:rPr>
        <w:t xml:space="preserve"> shows the different activities during an uplink reporting event and the corresponding terminal state.</w:t>
      </w:r>
      <w:r w:rsidR="00753A94">
        <w:rPr>
          <w:rFonts w:eastAsia="Malgun Gothic"/>
        </w:rPr>
        <w:t xml:space="preserve"> The following assumptions have been made: </w:t>
      </w:r>
    </w:p>
    <w:p w:rsidR="008735E1" w:rsidRPr="002B32C5" w:rsidRDefault="008735E1" w:rsidP="008735E1">
      <w:pPr>
        <w:widowControl w:val="0"/>
        <w:numPr>
          <w:ilvl w:val="0"/>
          <w:numId w:val="44"/>
        </w:numPr>
        <w:wordWrap w:val="0"/>
        <w:overflowPunct/>
        <w:spacing w:line="254" w:lineRule="auto"/>
        <w:ind w:left="714" w:hanging="357"/>
        <w:textAlignment w:val="auto"/>
      </w:pPr>
      <w:r>
        <w:t>For network synchronization we assume initial synchronization with 0 interferers and PSS/SSS Configuration 2 (see</w:t>
      </w:r>
      <w:r w:rsidR="00DC271D">
        <w:t xml:space="preserve"> </w:t>
      </w:r>
      <w:r w:rsidR="00DC271D">
        <w:fldChar w:fldCharType="begin"/>
      </w:r>
      <w:r w:rsidR="00DC271D">
        <w:instrText xml:space="preserve"> REF _Ref431251599 \r \h </w:instrText>
      </w:r>
      <w:r w:rsidR="00DC271D">
        <w:fldChar w:fldCharType="separate"/>
      </w:r>
      <w:r w:rsidR="00D73593">
        <w:t>[4]</w:t>
      </w:r>
      <w:r w:rsidR="00DC271D">
        <w:fldChar w:fldCharType="end"/>
      </w:r>
      <w:r>
        <w:t xml:space="preserve">). The value in the </w:t>
      </w:r>
      <w:r>
        <w:rPr>
          <w:rFonts w:eastAsia="Malgun Gothic"/>
        </w:rPr>
        <w:t xml:space="preserve">Table </w:t>
      </w:r>
      <w:r w:rsidR="003A5407">
        <w:rPr>
          <w:rFonts w:eastAsia="Malgun Gothic"/>
        </w:rPr>
        <w:t>1</w:t>
      </w:r>
      <w:r>
        <w:rPr>
          <w:rFonts w:eastAsia="Malgun Gothic"/>
        </w:rPr>
        <w:t xml:space="preserve"> </w:t>
      </w:r>
      <w:r>
        <w:t>is the average synchronization time. The synchr</w:t>
      </w:r>
      <w:r w:rsidR="00753A94">
        <w:t>o</w:t>
      </w:r>
      <w:r>
        <w:t>nization time at 154 dB coupling loss is estimated to be half of that at 164 dB coupling loss. For simplicity the same value is used also for 144 dB coupling loss.</w:t>
      </w:r>
    </w:p>
    <w:p w:rsidR="008735E1" w:rsidRPr="002B32C5" w:rsidRDefault="008735E1" w:rsidP="008735E1">
      <w:pPr>
        <w:widowControl w:val="0"/>
        <w:numPr>
          <w:ilvl w:val="0"/>
          <w:numId w:val="44"/>
        </w:numPr>
        <w:wordWrap w:val="0"/>
        <w:overflowPunct/>
        <w:spacing w:line="254" w:lineRule="auto"/>
        <w:ind w:left="714" w:hanging="357"/>
        <w:textAlignment w:val="auto"/>
        <w:rPr>
          <w:rFonts w:eastAsia="Malgun Gothic"/>
        </w:rPr>
      </w:pPr>
      <w:r w:rsidRPr="00564434">
        <w:t xml:space="preserve">The MIB acquisition time </w:t>
      </w:r>
      <w:r>
        <w:t xml:space="preserve">for 164 dB coupling loss </w:t>
      </w:r>
      <w:r w:rsidRPr="00564434">
        <w:t xml:space="preserve">is based on </w:t>
      </w:r>
      <w:r w:rsidR="00D73593">
        <w:t xml:space="preserve">the results in </w:t>
      </w:r>
      <w:r w:rsidR="00D73593">
        <w:fldChar w:fldCharType="begin"/>
      </w:r>
      <w:r w:rsidR="00D73593">
        <w:instrText xml:space="preserve"> REF _Ref431246216 \r \h </w:instrText>
      </w:r>
      <w:r w:rsidR="00D73593">
        <w:fldChar w:fldCharType="separate"/>
      </w:r>
      <w:r w:rsidR="00D73593">
        <w:t>[5]</w:t>
      </w:r>
      <w:r w:rsidR="00D73593">
        <w:fldChar w:fldCharType="end"/>
      </w:r>
      <w:r w:rsidRPr="00564434">
        <w:t>.</w:t>
      </w:r>
      <w:r>
        <w:t xml:space="preserve"> For 154 dB coupling loss it is estimated that one decoding attempt using 8 code sub-blocks will be sufficient to </w:t>
      </w:r>
      <w:proofErr w:type="spellStart"/>
      <w:r>
        <w:t>acquire</w:t>
      </w:r>
      <w:r w:rsidR="00753A94">
        <w:t>the</w:t>
      </w:r>
      <w:proofErr w:type="spellEnd"/>
      <w:r>
        <w:t xml:space="preserve"> MIB.  For simplicity the same values are used also for 144 dB coupling loss.  The Rx and Idle tim</w:t>
      </w:r>
      <w:proofErr w:type="gramStart"/>
      <w:r>
        <w:t>es</w:t>
      </w:r>
      <w:proofErr w:type="gramEnd"/>
      <w:r>
        <w:t xml:space="preserve"> during the MIB acquisition are calculated similarly</w:t>
      </w:r>
      <w:r w:rsidR="00753A94">
        <w:t xml:space="preserve"> as in </w:t>
      </w:r>
      <w:r w:rsidR="00753A94">
        <w:fldChar w:fldCharType="begin"/>
      </w:r>
      <w:r w:rsidR="00753A94">
        <w:instrText xml:space="preserve"> REF _Ref431246495 \r \h </w:instrText>
      </w:r>
      <w:r w:rsidR="00753A94">
        <w:fldChar w:fldCharType="separate"/>
      </w:r>
      <w:r w:rsidR="00D73593">
        <w:t>[3]</w:t>
      </w:r>
      <w:r w:rsidR="00753A94">
        <w:fldChar w:fldCharType="end"/>
      </w:r>
      <w:r>
        <w:t>. The details are omitted.</w:t>
      </w:r>
    </w:p>
    <w:p w:rsidR="008735E1" w:rsidRPr="002B32C5" w:rsidRDefault="008735E1" w:rsidP="008735E1">
      <w:pPr>
        <w:widowControl w:val="0"/>
        <w:numPr>
          <w:ilvl w:val="0"/>
          <w:numId w:val="44"/>
        </w:numPr>
        <w:wordWrap w:val="0"/>
        <w:overflowPunct/>
        <w:spacing w:line="254" w:lineRule="auto"/>
        <w:ind w:left="714" w:hanging="357"/>
        <w:textAlignment w:val="auto"/>
      </w:pPr>
      <w:r w:rsidRPr="00564434">
        <w:t>PRACH and PUSCH transmission times are the same as in standalone operation</w:t>
      </w:r>
      <w:r>
        <w:t xml:space="preserve"> [8]</w:t>
      </w:r>
      <w:r w:rsidRPr="00564434">
        <w:t>, as the power availability in uplink remains unchanged.</w:t>
      </w:r>
    </w:p>
    <w:p w:rsidR="008735E1" w:rsidRDefault="008735E1" w:rsidP="008735E1">
      <w:pPr>
        <w:widowControl w:val="0"/>
        <w:numPr>
          <w:ilvl w:val="0"/>
          <w:numId w:val="44"/>
        </w:numPr>
        <w:wordWrap w:val="0"/>
        <w:overflowPunct/>
        <w:spacing w:line="254" w:lineRule="auto"/>
        <w:ind w:left="714" w:hanging="357"/>
        <w:textAlignment w:val="auto"/>
      </w:pPr>
      <w:r w:rsidRPr="00564434">
        <w:t xml:space="preserve">The EPDCCH transmission time is based on </w:t>
      </w:r>
      <w:r w:rsidR="00D73593">
        <w:t xml:space="preserve">the results in </w:t>
      </w:r>
      <w:r w:rsidR="00D73593">
        <w:fldChar w:fldCharType="begin"/>
      </w:r>
      <w:r w:rsidR="00D73593">
        <w:instrText xml:space="preserve"> REF _Ref431246216 \r \h </w:instrText>
      </w:r>
      <w:r w:rsidR="00D73593">
        <w:fldChar w:fldCharType="separate"/>
      </w:r>
      <w:r w:rsidR="00D73593">
        <w:t>[5]</w:t>
      </w:r>
      <w:r w:rsidR="00D73593">
        <w:fldChar w:fldCharType="end"/>
      </w:r>
      <w:r w:rsidRPr="00564434">
        <w:t xml:space="preserve">. </w:t>
      </w:r>
    </w:p>
    <w:p w:rsidR="008735E1" w:rsidRDefault="008735E1" w:rsidP="008735E1">
      <w:pPr>
        <w:widowControl w:val="0"/>
        <w:numPr>
          <w:ilvl w:val="0"/>
          <w:numId w:val="44"/>
        </w:numPr>
        <w:wordWrap w:val="0"/>
        <w:overflowPunct/>
        <w:spacing w:line="254" w:lineRule="auto"/>
        <w:ind w:left="714" w:hanging="357"/>
        <w:textAlignment w:val="auto"/>
      </w:pPr>
      <w:r w:rsidRPr="00564434">
        <w:t>The PDSCH transmission time</w:t>
      </w:r>
      <w:r>
        <w:t xml:space="preserve"> for a 10 byte TB (RA </w:t>
      </w:r>
      <w:proofErr w:type="spellStart"/>
      <w:r>
        <w:t>msg</w:t>
      </w:r>
      <w:proofErr w:type="spellEnd"/>
      <w:r>
        <w:t xml:space="preserve"> 4) is the same as for EPDCCH. The transmission time for an 11 byte TB (RA msg2) and a</w:t>
      </w:r>
      <w:r w:rsidR="00753A94">
        <w:t>n</w:t>
      </w:r>
      <w:r>
        <w:t xml:space="preserve"> 80 byte TB (IP </w:t>
      </w:r>
      <w:proofErr w:type="spellStart"/>
      <w:r>
        <w:t>Ack</w:t>
      </w:r>
      <w:proofErr w:type="spellEnd"/>
      <w:r>
        <w:t>) are extrapolated from the 10 byte and 100 byte TB result, respectively. The PDSCH transmission time for a 100 byte TB is based on</w:t>
      </w:r>
      <w:r w:rsidR="00D73593" w:rsidRPr="00D73593">
        <w:t xml:space="preserve"> </w:t>
      </w:r>
      <w:r w:rsidR="00D73593">
        <w:t xml:space="preserve">the results in </w:t>
      </w:r>
      <w:r w:rsidR="00D73593">
        <w:fldChar w:fldCharType="begin"/>
      </w:r>
      <w:r w:rsidR="00D73593">
        <w:instrText xml:space="preserve"> REF _Ref431246216 \r \h </w:instrText>
      </w:r>
      <w:r w:rsidR="00D73593">
        <w:fldChar w:fldCharType="separate"/>
      </w:r>
      <w:r w:rsidR="00D73593">
        <w:t>[5]</w:t>
      </w:r>
      <w:r w:rsidR="00D73593">
        <w:fldChar w:fldCharType="end"/>
      </w:r>
      <w:r>
        <w:t>.</w:t>
      </w:r>
    </w:p>
    <w:p w:rsidR="008735E1" w:rsidRPr="002B32C5" w:rsidRDefault="008735E1" w:rsidP="008735E1">
      <w:pPr>
        <w:widowControl w:val="0"/>
        <w:numPr>
          <w:ilvl w:val="0"/>
          <w:numId w:val="44"/>
        </w:numPr>
        <w:wordWrap w:val="0"/>
        <w:overflowPunct/>
        <w:spacing w:line="254" w:lineRule="auto"/>
        <w:ind w:left="714" w:hanging="357"/>
        <w:textAlignment w:val="auto"/>
      </w:pPr>
      <w:r>
        <w:t xml:space="preserve">The extra wait time is the same as in standalone operation and comprises the IP </w:t>
      </w:r>
      <w:proofErr w:type="spellStart"/>
      <w:r>
        <w:t>Ack</w:t>
      </w:r>
      <w:proofErr w:type="spellEnd"/>
      <w:r>
        <w:t xml:space="preserve"> waiting time (1000 </w:t>
      </w:r>
      <w:proofErr w:type="spellStart"/>
      <w:r>
        <w:t>ms</w:t>
      </w:r>
      <w:proofErr w:type="spellEnd"/>
      <w:r>
        <w:t xml:space="preserve">), the ready timer (20000 </w:t>
      </w:r>
      <w:proofErr w:type="spellStart"/>
      <w:r>
        <w:t>ms</w:t>
      </w:r>
      <w:proofErr w:type="spellEnd"/>
      <w:r>
        <w:t xml:space="preserve">), and the various scheduling delays (1000 </w:t>
      </w:r>
      <w:proofErr w:type="spellStart"/>
      <w:r>
        <w:t>ms</w:t>
      </w:r>
      <w:proofErr w:type="spellEnd"/>
      <w:r>
        <w:t xml:space="preserve">). The total extra wait time is therefore 22000 </w:t>
      </w:r>
      <w:proofErr w:type="spellStart"/>
      <w:r>
        <w:t>ms</w:t>
      </w:r>
      <w:proofErr w:type="spellEnd"/>
      <w:r>
        <w:t>.</w:t>
      </w:r>
    </w:p>
    <w:p w:rsidR="008735E1" w:rsidRDefault="008735E1" w:rsidP="008735E1">
      <w:pPr>
        <w:tabs>
          <w:tab w:val="left" w:pos="5580"/>
        </w:tabs>
        <w:rPr>
          <w:rFonts w:eastAsia="Malgun Gothic"/>
        </w:rPr>
      </w:pPr>
    </w:p>
    <w:p w:rsidR="008735E1" w:rsidRPr="002B32C5" w:rsidRDefault="008735E1" w:rsidP="008735E1">
      <w:pPr>
        <w:pStyle w:val="Caption"/>
        <w:keepNext/>
        <w:rPr>
          <w:rFonts w:ascii="Arial" w:hAnsi="Arial"/>
          <w:lang w:val="en-US"/>
        </w:rPr>
      </w:pPr>
      <w:r w:rsidRPr="0068411F">
        <w:rPr>
          <w:rFonts w:ascii="Arial" w:hAnsi="Arial"/>
        </w:rPr>
        <w:t>Table</w:t>
      </w:r>
      <w:r w:rsidR="003A5407">
        <w:rPr>
          <w:rFonts w:ascii="Arial" w:hAnsi="Arial"/>
          <w:lang w:val="en-US"/>
        </w:rPr>
        <w:t xml:space="preserve"> 1</w:t>
      </w:r>
      <w:r w:rsidRPr="0068411F">
        <w:rPr>
          <w:rFonts w:ascii="Arial" w:hAnsi="Arial"/>
        </w:rPr>
        <w:t xml:space="preserve">: </w:t>
      </w:r>
      <w:r w:rsidRPr="002B32C5">
        <w:rPr>
          <w:rFonts w:ascii="Arial" w:hAnsi="Arial"/>
          <w:lang w:val="en-US"/>
        </w:rPr>
        <w:t xml:space="preserve">Duration </w:t>
      </w:r>
      <w:r>
        <w:rPr>
          <w:rFonts w:ascii="Arial" w:hAnsi="Arial"/>
          <w:lang w:val="en-US"/>
        </w:rPr>
        <w:t xml:space="preserve">and terminal state for the </w:t>
      </w:r>
      <w:r w:rsidRPr="002B32C5">
        <w:rPr>
          <w:rFonts w:ascii="Arial" w:hAnsi="Arial"/>
          <w:lang w:val="en-US"/>
        </w:rPr>
        <w:t xml:space="preserve">various </w:t>
      </w:r>
      <w:r>
        <w:rPr>
          <w:rFonts w:ascii="Arial" w:hAnsi="Arial"/>
          <w:lang w:val="en-US"/>
        </w:rPr>
        <w:t>activi</w:t>
      </w:r>
      <w:r w:rsidR="003A5407">
        <w:rPr>
          <w:rFonts w:ascii="Arial" w:hAnsi="Arial"/>
          <w:lang w:val="en-US"/>
        </w:rPr>
        <w:t xml:space="preserve">ties during an uplink reporting </w:t>
      </w:r>
      <w:r>
        <w:rPr>
          <w:rFonts w:ascii="Arial" w:hAnsi="Arial"/>
          <w:lang w:val="en-US"/>
        </w:rPr>
        <w:t>event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693"/>
        <w:gridCol w:w="1193"/>
        <w:gridCol w:w="1134"/>
        <w:gridCol w:w="1134"/>
        <w:gridCol w:w="1208"/>
      </w:tblGrid>
      <w:tr w:rsidR="008735E1" w:rsidRPr="0097128A" w:rsidTr="00EE631A">
        <w:trPr>
          <w:trHeight w:val="300"/>
          <w:jc w:val="center"/>
        </w:trPr>
        <w:tc>
          <w:tcPr>
            <w:tcW w:w="3369" w:type="dxa"/>
            <w:tcBorders>
              <w:top w:val="nil"/>
              <w:left w:val="nil"/>
              <w:bottom w:val="single" w:sz="4" w:space="0" w:color="auto"/>
              <w:right w:val="nil"/>
            </w:tcBorders>
            <w:shd w:val="clear" w:color="auto" w:fill="auto"/>
            <w:noWrap/>
            <w:hideMark/>
          </w:tcPr>
          <w:p w:rsidR="008735E1" w:rsidRPr="0097128A" w:rsidRDefault="008735E1" w:rsidP="00EE631A">
            <w:pPr>
              <w:rPr>
                <w:rFonts w:eastAsia="Malgun Gothic"/>
                <w:b/>
                <w:bCs/>
              </w:rPr>
            </w:pPr>
            <w:r w:rsidRPr="0097128A">
              <w:rPr>
                <w:rFonts w:eastAsia="Malgun Gothic"/>
                <w:b/>
                <w:bCs/>
              </w:rPr>
              <w:t> </w:t>
            </w:r>
          </w:p>
        </w:tc>
        <w:tc>
          <w:tcPr>
            <w:tcW w:w="649" w:type="dxa"/>
            <w:tcBorders>
              <w:top w:val="nil"/>
              <w:left w:val="nil"/>
              <w:bottom w:val="single" w:sz="4" w:space="0" w:color="auto"/>
              <w:right w:val="nil"/>
            </w:tcBorders>
            <w:shd w:val="clear" w:color="auto" w:fill="auto"/>
            <w:noWrap/>
            <w:hideMark/>
          </w:tcPr>
          <w:p w:rsidR="008735E1" w:rsidRPr="0097128A" w:rsidRDefault="008735E1" w:rsidP="00EE631A">
            <w:pPr>
              <w:rPr>
                <w:rFonts w:eastAsia="Malgun Gothic"/>
                <w:b/>
                <w:bCs/>
              </w:rPr>
            </w:pPr>
            <w:r w:rsidRPr="0097128A">
              <w:rPr>
                <w:rFonts w:eastAsia="Malgun Gothic"/>
                <w:b/>
                <w:bCs/>
              </w:rPr>
              <w:t> </w:t>
            </w:r>
          </w:p>
        </w:tc>
        <w:tc>
          <w:tcPr>
            <w:tcW w:w="1193" w:type="dxa"/>
            <w:tcBorders>
              <w:top w:val="nil"/>
              <w:left w:val="nil"/>
              <w:bottom w:val="single" w:sz="4" w:space="0" w:color="auto"/>
              <w:right w:val="single" w:sz="4" w:space="0" w:color="auto"/>
            </w:tcBorders>
            <w:shd w:val="clear" w:color="auto" w:fill="auto"/>
            <w:noWrap/>
            <w:hideMark/>
          </w:tcPr>
          <w:p w:rsidR="008735E1" w:rsidRPr="0097128A" w:rsidRDefault="008735E1" w:rsidP="00EE631A">
            <w:pPr>
              <w:rPr>
                <w:rFonts w:eastAsia="Malgun Gothic"/>
                <w:b/>
                <w:bCs/>
              </w:rPr>
            </w:pPr>
            <w:r w:rsidRPr="0097128A">
              <w:rPr>
                <w:rFonts w:eastAsia="Malgun Gothic"/>
                <w:b/>
                <w:bCs/>
              </w:rPr>
              <w:t> </w:t>
            </w:r>
          </w:p>
        </w:tc>
        <w:tc>
          <w:tcPr>
            <w:tcW w:w="3476" w:type="dxa"/>
            <w:gridSpan w:val="3"/>
            <w:tcBorders>
              <w:left w:val="single" w:sz="4" w:space="0" w:color="auto"/>
            </w:tcBorders>
            <w:shd w:val="clear" w:color="auto" w:fill="auto"/>
            <w:noWrap/>
            <w:hideMark/>
          </w:tcPr>
          <w:p w:rsidR="008735E1" w:rsidRPr="0097128A" w:rsidRDefault="008735E1" w:rsidP="00EE631A">
            <w:pPr>
              <w:jc w:val="center"/>
              <w:rPr>
                <w:rFonts w:eastAsia="Malgun Gothic"/>
                <w:b/>
                <w:bCs/>
              </w:rPr>
            </w:pPr>
            <w:r w:rsidRPr="0097128A">
              <w:rPr>
                <w:rFonts w:eastAsia="Malgun Gothic"/>
                <w:b/>
                <w:bCs/>
              </w:rPr>
              <w:t>Duration (</w:t>
            </w:r>
            <w:proofErr w:type="spellStart"/>
            <w:r w:rsidRPr="0097128A">
              <w:rPr>
                <w:rFonts w:eastAsia="Malgun Gothic"/>
                <w:b/>
                <w:bCs/>
              </w:rPr>
              <w:t>ms</w:t>
            </w:r>
            <w:proofErr w:type="spellEnd"/>
            <w:r w:rsidRPr="0097128A">
              <w:rPr>
                <w:rFonts w:eastAsia="Malgun Gothic"/>
                <w:b/>
                <w:bCs/>
              </w:rPr>
              <w:t>)</w:t>
            </w:r>
          </w:p>
        </w:tc>
      </w:tr>
      <w:tr w:rsidR="008735E1" w:rsidRPr="0097128A" w:rsidTr="00EE631A">
        <w:trPr>
          <w:trHeight w:val="300"/>
          <w:jc w:val="center"/>
        </w:trPr>
        <w:tc>
          <w:tcPr>
            <w:tcW w:w="3369" w:type="dxa"/>
            <w:tcBorders>
              <w:top w:val="single" w:sz="4" w:space="0" w:color="auto"/>
            </w:tcBorders>
            <w:shd w:val="clear" w:color="auto" w:fill="auto"/>
            <w:noWrap/>
            <w:hideMark/>
          </w:tcPr>
          <w:p w:rsidR="008735E1" w:rsidRPr="0097128A" w:rsidRDefault="008735E1" w:rsidP="00EE631A">
            <w:pPr>
              <w:rPr>
                <w:rFonts w:eastAsia="Malgun Gothic"/>
                <w:b/>
                <w:bCs/>
              </w:rPr>
            </w:pPr>
            <w:r w:rsidRPr="0097128A">
              <w:rPr>
                <w:rFonts w:eastAsia="Malgun Gothic"/>
                <w:b/>
                <w:bCs/>
              </w:rPr>
              <w:t>Activity</w:t>
            </w:r>
          </w:p>
        </w:tc>
        <w:tc>
          <w:tcPr>
            <w:tcW w:w="649" w:type="dxa"/>
            <w:tcBorders>
              <w:top w:val="single" w:sz="4" w:space="0" w:color="auto"/>
            </w:tcBorders>
            <w:shd w:val="clear" w:color="auto" w:fill="auto"/>
            <w:noWrap/>
            <w:hideMark/>
          </w:tcPr>
          <w:p w:rsidR="008735E1" w:rsidRPr="0097128A" w:rsidRDefault="008735E1" w:rsidP="00EE631A">
            <w:pPr>
              <w:rPr>
                <w:rFonts w:eastAsia="Malgun Gothic"/>
                <w:b/>
                <w:bCs/>
              </w:rPr>
            </w:pPr>
            <w:r w:rsidRPr="0097128A">
              <w:rPr>
                <w:rFonts w:eastAsia="Malgun Gothic"/>
                <w:b/>
                <w:bCs/>
              </w:rPr>
              <w:t>State</w:t>
            </w:r>
          </w:p>
        </w:tc>
        <w:tc>
          <w:tcPr>
            <w:tcW w:w="1193" w:type="dxa"/>
            <w:tcBorders>
              <w:top w:val="single" w:sz="4" w:space="0" w:color="auto"/>
            </w:tcBorders>
            <w:shd w:val="clear" w:color="auto" w:fill="auto"/>
            <w:noWrap/>
            <w:hideMark/>
          </w:tcPr>
          <w:p w:rsidR="008735E1" w:rsidRPr="0097128A" w:rsidRDefault="008735E1" w:rsidP="00EE631A">
            <w:pPr>
              <w:rPr>
                <w:rFonts w:eastAsia="Malgun Gothic"/>
                <w:b/>
                <w:bCs/>
              </w:rPr>
            </w:pPr>
            <w:r w:rsidRPr="0097128A">
              <w:rPr>
                <w:rFonts w:eastAsia="Malgun Gothic"/>
                <w:b/>
                <w:bCs/>
              </w:rPr>
              <w:t>Size (bytes)</w:t>
            </w:r>
          </w:p>
        </w:tc>
        <w:tc>
          <w:tcPr>
            <w:tcW w:w="1134" w:type="dxa"/>
            <w:shd w:val="clear" w:color="auto" w:fill="auto"/>
            <w:noWrap/>
            <w:hideMark/>
          </w:tcPr>
          <w:p w:rsidR="008735E1" w:rsidRPr="0097128A" w:rsidRDefault="008735E1" w:rsidP="00EE631A">
            <w:pPr>
              <w:jc w:val="center"/>
              <w:rPr>
                <w:rFonts w:eastAsia="Malgun Gothic"/>
                <w:b/>
                <w:bCs/>
              </w:rPr>
            </w:pPr>
            <w:r w:rsidRPr="0097128A">
              <w:rPr>
                <w:rFonts w:eastAsia="Malgun Gothic"/>
                <w:b/>
                <w:bCs/>
              </w:rPr>
              <w:t>144 dB</w:t>
            </w:r>
          </w:p>
        </w:tc>
        <w:tc>
          <w:tcPr>
            <w:tcW w:w="1134" w:type="dxa"/>
            <w:shd w:val="clear" w:color="auto" w:fill="auto"/>
            <w:noWrap/>
            <w:hideMark/>
          </w:tcPr>
          <w:p w:rsidR="008735E1" w:rsidRPr="0097128A" w:rsidRDefault="008735E1" w:rsidP="00EE631A">
            <w:pPr>
              <w:jc w:val="center"/>
              <w:rPr>
                <w:rFonts w:eastAsia="Malgun Gothic"/>
                <w:b/>
                <w:bCs/>
              </w:rPr>
            </w:pPr>
            <w:r w:rsidRPr="0097128A">
              <w:rPr>
                <w:rFonts w:eastAsia="Malgun Gothic"/>
                <w:b/>
                <w:bCs/>
              </w:rPr>
              <w:t>154 dB</w:t>
            </w:r>
          </w:p>
        </w:tc>
        <w:tc>
          <w:tcPr>
            <w:tcW w:w="1208" w:type="dxa"/>
            <w:shd w:val="clear" w:color="auto" w:fill="auto"/>
            <w:noWrap/>
            <w:hideMark/>
          </w:tcPr>
          <w:p w:rsidR="008735E1" w:rsidRPr="0097128A" w:rsidRDefault="008735E1" w:rsidP="00EE631A">
            <w:pPr>
              <w:jc w:val="center"/>
              <w:rPr>
                <w:rFonts w:eastAsia="Malgun Gothic"/>
                <w:b/>
                <w:bCs/>
              </w:rPr>
            </w:pPr>
            <w:r w:rsidRPr="0097128A">
              <w:rPr>
                <w:rFonts w:eastAsia="Malgun Gothic"/>
                <w:b/>
                <w:bCs/>
              </w:rPr>
              <w:t>164 dB</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Synch</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2B32C5" w:rsidRDefault="00CB6856" w:rsidP="00EE631A">
            <w:pPr>
              <w:jc w:val="center"/>
              <w:rPr>
                <w:rFonts w:eastAsia="Malgun Gothic"/>
              </w:rPr>
            </w:pPr>
            <w:r>
              <w:rPr>
                <w:rFonts w:eastAsia="Malgun Gothic"/>
              </w:rPr>
              <w:t>112</w:t>
            </w:r>
          </w:p>
        </w:tc>
        <w:tc>
          <w:tcPr>
            <w:tcW w:w="1134" w:type="dxa"/>
            <w:shd w:val="clear" w:color="auto" w:fill="auto"/>
            <w:noWrap/>
            <w:vAlign w:val="bottom"/>
            <w:hideMark/>
          </w:tcPr>
          <w:p w:rsidR="008735E1" w:rsidRPr="002B32C5" w:rsidRDefault="00CB6856" w:rsidP="00EE631A">
            <w:pPr>
              <w:jc w:val="center"/>
              <w:rPr>
                <w:rFonts w:eastAsia="Malgun Gothic"/>
              </w:rPr>
            </w:pPr>
            <w:r>
              <w:rPr>
                <w:rFonts w:eastAsia="Malgun Gothic"/>
              </w:rPr>
              <w:t>146</w:t>
            </w:r>
          </w:p>
        </w:tc>
        <w:tc>
          <w:tcPr>
            <w:tcW w:w="1208" w:type="dxa"/>
            <w:shd w:val="clear" w:color="auto" w:fill="auto"/>
            <w:noWrap/>
            <w:vAlign w:val="bottom"/>
            <w:hideMark/>
          </w:tcPr>
          <w:p w:rsidR="008735E1" w:rsidRPr="0097128A" w:rsidRDefault="00CB6856" w:rsidP="00EE631A">
            <w:pPr>
              <w:jc w:val="center"/>
              <w:rPr>
                <w:rFonts w:eastAsia="Malgun Gothic"/>
              </w:rPr>
            </w:pPr>
            <w:r>
              <w:rPr>
                <w:rFonts w:eastAsia="Malgun Gothic"/>
              </w:rPr>
              <w:t>4</w:t>
            </w:r>
            <w:r w:rsidR="00F313B8">
              <w:rPr>
                <w:rFonts w:eastAsia="Malgun Gothic"/>
              </w:rPr>
              <w:t>69</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Wait for MIB</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Idle</w:t>
            </w:r>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2B32C5" w:rsidRDefault="008735E1" w:rsidP="00EE631A">
            <w:pPr>
              <w:jc w:val="center"/>
              <w:rPr>
                <w:rFonts w:eastAsia="Malgun Gothic"/>
              </w:rPr>
            </w:pPr>
            <w:r w:rsidRPr="002B32C5">
              <w:rPr>
                <w:rFonts w:eastAsia="Malgun Gothic"/>
              </w:rPr>
              <w:t>868</w:t>
            </w:r>
          </w:p>
        </w:tc>
        <w:tc>
          <w:tcPr>
            <w:tcW w:w="1134" w:type="dxa"/>
            <w:shd w:val="clear" w:color="auto" w:fill="auto"/>
            <w:noWrap/>
            <w:vAlign w:val="bottom"/>
            <w:hideMark/>
          </w:tcPr>
          <w:p w:rsidR="008735E1" w:rsidRPr="002B32C5" w:rsidRDefault="008735E1" w:rsidP="00EE631A">
            <w:pPr>
              <w:jc w:val="center"/>
              <w:rPr>
                <w:rFonts w:eastAsia="Malgun Gothic"/>
              </w:rPr>
            </w:pPr>
            <w:r w:rsidRPr="002B32C5">
              <w:rPr>
                <w:rFonts w:eastAsia="Malgun Gothic"/>
              </w:rPr>
              <w:t>868</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2020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MIB</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92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92</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lastRenderedPageBreak/>
              <w:t>Wait for PRACH</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Idle</w:t>
            </w:r>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w:t>
            </w:r>
            <w:r w:rsidR="00CB6856">
              <w:rPr>
                <w:rFonts w:eastAsia="Malgun Gothic"/>
              </w:rPr>
              <w:t>6</w:t>
            </w:r>
            <w:r w:rsidRPr="002B32C5">
              <w:rPr>
                <w:rFonts w:eastAsia="Malgun Gothic"/>
              </w:rPr>
              <w:t>0</w:t>
            </w:r>
          </w:p>
        </w:tc>
        <w:tc>
          <w:tcPr>
            <w:tcW w:w="1134" w:type="dxa"/>
            <w:shd w:val="clear" w:color="auto" w:fill="auto"/>
            <w:noWrap/>
            <w:vAlign w:val="bottom"/>
            <w:hideMark/>
          </w:tcPr>
          <w:p w:rsidR="008735E1" w:rsidRPr="0097128A" w:rsidRDefault="008735E1" w:rsidP="00CB6856">
            <w:pPr>
              <w:jc w:val="center"/>
              <w:rPr>
                <w:rFonts w:eastAsia="Malgun Gothic"/>
              </w:rPr>
            </w:pPr>
            <w:r w:rsidRPr="002B32C5">
              <w:rPr>
                <w:rFonts w:eastAsia="Malgun Gothic"/>
              </w:rPr>
              <w:t>3</w:t>
            </w:r>
            <w:r w:rsidR="00CB6856">
              <w:rPr>
                <w:rFonts w:eastAsia="Malgun Gothic"/>
              </w:rPr>
              <w:t>20</w:t>
            </w:r>
          </w:p>
        </w:tc>
        <w:tc>
          <w:tcPr>
            <w:tcW w:w="1208" w:type="dxa"/>
            <w:shd w:val="clear" w:color="auto" w:fill="auto"/>
            <w:noWrap/>
            <w:vAlign w:val="bottom"/>
            <w:hideMark/>
          </w:tcPr>
          <w:p w:rsidR="008735E1" w:rsidRPr="0097128A" w:rsidRDefault="00CB6856" w:rsidP="00CB6856">
            <w:pPr>
              <w:jc w:val="center"/>
              <w:rPr>
                <w:rFonts w:eastAsia="Malgun Gothic"/>
              </w:rPr>
            </w:pPr>
            <w:r>
              <w:rPr>
                <w:rFonts w:eastAsia="Malgun Gothic"/>
              </w:rPr>
              <w:t>6</w:t>
            </w:r>
            <w:r w:rsidR="008735E1" w:rsidRPr="002B32C5">
              <w:rPr>
                <w:rFonts w:eastAsia="Malgun Gothic"/>
              </w:rPr>
              <w:t>4</w:t>
            </w:r>
            <w:r>
              <w:rPr>
                <w:rFonts w:eastAsia="Malgun Gothic"/>
              </w:rPr>
              <w:t>0</w:t>
            </w:r>
          </w:p>
        </w:tc>
      </w:tr>
      <w:tr w:rsidR="008735E1" w:rsidRPr="0097128A" w:rsidTr="00EE631A">
        <w:trPr>
          <w:trHeight w:val="300"/>
          <w:jc w:val="center"/>
        </w:trPr>
        <w:tc>
          <w:tcPr>
            <w:tcW w:w="3369" w:type="dxa"/>
            <w:shd w:val="clear" w:color="auto" w:fill="auto"/>
            <w:noWrap/>
            <w:hideMark/>
          </w:tcPr>
          <w:p w:rsidR="008735E1" w:rsidRPr="0097128A" w:rsidRDefault="00CB6856" w:rsidP="00EE631A">
            <w:pPr>
              <w:rPr>
                <w:rFonts w:eastAsia="Malgun Gothic"/>
              </w:rPr>
            </w:pPr>
            <w:r>
              <w:rPr>
                <w:rFonts w:eastAsia="Malgun Gothic"/>
              </w:rPr>
              <w:t>PRACH</w:t>
            </w:r>
          </w:p>
        </w:tc>
        <w:tc>
          <w:tcPr>
            <w:tcW w:w="649" w:type="dxa"/>
            <w:shd w:val="clear" w:color="auto" w:fill="auto"/>
            <w:noWrap/>
            <w:hideMark/>
          </w:tcPr>
          <w:p w:rsidR="008735E1" w:rsidRPr="0097128A" w:rsidRDefault="008735E1" w:rsidP="00EE631A">
            <w:pPr>
              <w:jc w:val="center"/>
              <w:rPr>
                <w:rFonts w:eastAsia="Malgun Gothic"/>
              </w:rPr>
            </w:pPr>
            <w:proofErr w:type="spellStart"/>
            <w:r w:rsidRPr="0097128A">
              <w:rPr>
                <w:rFonts w:eastAsia="Malgun Gothic"/>
              </w:rPr>
              <w:t>Tx</w:t>
            </w:r>
            <w:proofErr w:type="spellEnd"/>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4</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4</w:t>
            </w:r>
            <w:r w:rsidR="00933CC7">
              <w:rPr>
                <w:rFonts w:eastAsia="Malgun Gothic"/>
              </w:rPr>
              <w:t>8</w:t>
            </w:r>
          </w:p>
        </w:tc>
        <w:tc>
          <w:tcPr>
            <w:tcW w:w="1208" w:type="dxa"/>
            <w:shd w:val="clear" w:color="auto" w:fill="auto"/>
            <w:noWrap/>
            <w:vAlign w:val="bottom"/>
            <w:hideMark/>
          </w:tcPr>
          <w:p w:rsidR="008735E1" w:rsidRPr="0097128A" w:rsidRDefault="00933CC7" w:rsidP="00EE631A">
            <w:pPr>
              <w:jc w:val="center"/>
              <w:rPr>
                <w:rFonts w:eastAsia="Malgun Gothic"/>
              </w:rPr>
            </w:pPr>
            <w:r>
              <w:rPr>
                <w:rFonts w:eastAsia="Malgun Gothic"/>
              </w:rPr>
              <w:t>160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DL assignment</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20</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120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RAR (includes UL grant)</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10</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3</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25</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150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TLLI + Access cause + BSR</w:t>
            </w:r>
          </w:p>
        </w:tc>
        <w:tc>
          <w:tcPr>
            <w:tcW w:w="649" w:type="dxa"/>
            <w:shd w:val="clear" w:color="auto" w:fill="auto"/>
            <w:noWrap/>
            <w:hideMark/>
          </w:tcPr>
          <w:p w:rsidR="008735E1" w:rsidRPr="0097128A" w:rsidRDefault="008735E1" w:rsidP="00EE631A">
            <w:pPr>
              <w:jc w:val="center"/>
              <w:rPr>
                <w:rFonts w:eastAsia="Malgun Gothic"/>
              </w:rPr>
            </w:pPr>
            <w:proofErr w:type="spellStart"/>
            <w:r w:rsidRPr="0097128A">
              <w:rPr>
                <w:rFonts w:eastAsia="Malgun Gothic"/>
              </w:rPr>
              <w:t>Tx</w:t>
            </w:r>
            <w:proofErr w:type="spellEnd"/>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11</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36</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300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DL assignment</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20</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120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RA cont. res.</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20</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120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UL grant</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132</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IP report (50 bytes)</w:t>
            </w:r>
          </w:p>
        </w:tc>
        <w:tc>
          <w:tcPr>
            <w:tcW w:w="649" w:type="dxa"/>
            <w:shd w:val="clear" w:color="auto" w:fill="auto"/>
            <w:noWrap/>
            <w:hideMark/>
          </w:tcPr>
          <w:p w:rsidR="008735E1" w:rsidRPr="0097128A" w:rsidRDefault="008735E1" w:rsidP="00EE631A">
            <w:pPr>
              <w:jc w:val="center"/>
              <w:rPr>
                <w:rFonts w:eastAsia="Malgun Gothic"/>
              </w:rPr>
            </w:pPr>
            <w:proofErr w:type="spellStart"/>
            <w:r w:rsidRPr="0097128A">
              <w:rPr>
                <w:rFonts w:eastAsia="Malgun Gothic"/>
              </w:rPr>
              <w:t>Tx</w:t>
            </w:r>
            <w:proofErr w:type="spellEnd"/>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65</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26</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238</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1426</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IP report (200 bytes)</w:t>
            </w:r>
          </w:p>
        </w:tc>
        <w:tc>
          <w:tcPr>
            <w:tcW w:w="649" w:type="dxa"/>
            <w:shd w:val="clear" w:color="auto" w:fill="auto"/>
            <w:noWrap/>
            <w:hideMark/>
          </w:tcPr>
          <w:p w:rsidR="008735E1" w:rsidRPr="0097128A" w:rsidRDefault="008735E1" w:rsidP="00EE631A">
            <w:pPr>
              <w:jc w:val="center"/>
              <w:rPr>
                <w:rFonts w:eastAsia="Malgun Gothic"/>
              </w:rPr>
            </w:pPr>
            <w:proofErr w:type="spellStart"/>
            <w:r w:rsidRPr="0097128A">
              <w:rPr>
                <w:rFonts w:eastAsia="Malgun Gothic"/>
              </w:rPr>
              <w:t>Tx</w:t>
            </w:r>
            <w:proofErr w:type="spellEnd"/>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215</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58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909</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4541</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HARQ ACK</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132</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jc w:val="left"/>
              <w:rPr>
                <w:rFonts w:eastAsia="Malgun Gothic"/>
              </w:rPr>
            </w:pPr>
            <w:r w:rsidRPr="0097128A">
              <w:rPr>
                <w:rFonts w:eastAsia="Malgun Gothic"/>
              </w:rPr>
              <w:t>DL assignment + PDCCH monitoring</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132</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 xml:space="preserve">IP </w:t>
            </w:r>
            <w:proofErr w:type="spellStart"/>
            <w:r w:rsidRPr="0097128A">
              <w:rPr>
                <w:rFonts w:eastAsia="Malgun Gothic"/>
              </w:rPr>
              <w:t>Ack</w:t>
            </w:r>
            <w:proofErr w:type="spellEnd"/>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80</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132</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686</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HARQ ACK</w:t>
            </w:r>
          </w:p>
        </w:tc>
        <w:tc>
          <w:tcPr>
            <w:tcW w:w="649" w:type="dxa"/>
            <w:shd w:val="clear" w:color="auto" w:fill="auto"/>
            <w:noWrap/>
            <w:hideMark/>
          </w:tcPr>
          <w:p w:rsidR="008735E1" w:rsidRPr="0097128A" w:rsidRDefault="008735E1" w:rsidP="00EE631A">
            <w:pPr>
              <w:jc w:val="center"/>
              <w:rPr>
                <w:rFonts w:eastAsia="Malgun Gothic"/>
              </w:rPr>
            </w:pPr>
            <w:proofErr w:type="spellStart"/>
            <w:r w:rsidRPr="0097128A">
              <w:rPr>
                <w:rFonts w:eastAsia="Malgun Gothic"/>
              </w:rPr>
              <w:t>Tx</w:t>
            </w:r>
            <w:proofErr w:type="spellEnd"/>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3</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7</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13</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224</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PDCCH monitoring</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Rx</w:t>
            </w:r>
          </w:p>
        </w:tc>
        <w:tc>
          <w:tcPr>
            <w:tcW w:w="1193" w:type="dxa"/>
            <w:shd w:val="clear" w:color="auto" w:fill="auto"/>
            <w:noWrap/>
            <w:hideMark/>
          </w:tcPr>
          <w:p w:rsidR="008735E1" w:rsidRPr="0097128A" w:rsidRDefault="008735E1" w:rsidP="00EE631A">
            <w:pPr>
              <w:jc w:val="center"/>
              <w:rPr>
                <w:rFonts w:eastAsia="Malgun Gothic"/>
              </w:rPr>
            </w:pPr>
            <w:r w:rsidRPr="0097128A">
              <w:rPr>
                <w:rFonts w:eastAsia="Malgun Gothic"/>
              </w:rPr>
              <w:t>8</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39</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156</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1560</w:t>
            </w:r>
          </w:p>
        </w:tc>
      </w:tr>
      <w:tr w:rsidR="008735E1" w:rsidRPr="0097128A" w:rsidTr="00EE631A">
        <w:trPr>
          <w:trHeight w:val="300"/>
          <w:jc w:val="center"/>
        </w:trPr>
        <w:tc>
          <w:tcPr>
            <w:tcW w:w="3369" w:type="dxa"/>
            <w:shd w:val="clear" w:color="auto" w:fill="auto"/>
            <w:noWrap/>
            <w:hideMark/>
          </w:tcPr>
          <w:p w:rsidR="008735E1" w:rsidRPr="0097128A" w:rsidRDefault="008735E1" w:rsidP="00EE631A">
            <w:pPr>
              <w:rPr>
                <w:rFonts w:eastAsia="Malgun Gothic"/>
              </w:rPr>
            </w:pPr>
            <w:r w:rsidRPr="0097128A">
              <w:rPr>
                <w:rFonts w:eastAsia="Malgun Gothic"/>
              </w:rPr>
              <w:t>Extra wait time</w:t>
            </w:r>
          </w:p>
        </w:tc>
        <w:tc>
          <w:tcPr>
            <w:tcW w:w="649" w:type="dxa"/>
            <w:shd w:val="clear" w:color="auto" w:fill="auto"/>
            <w:noWrap/>
            <w:hideMark/>
          </w:tcPr>
          <w:p w:rsidR="008735E1" w:rsidRPr="0097128A" w:rsidRDefault="008735E1" w:rsidP="00EE631A">
            <w:pPr>
              <w:jc w:val="center"/>
              <w:rPr>
                <w:rFonts w:eastAsia="Malgun Gothic"/>
              </w:rPr>
            </w:pPr>
            <w:r w:rsidRPr="0097128A">
              <w:rPr>
                <w:rFonts w:eastAsia="Malgun Gothic"/>
              </w:rPr>
              <w:t>Idle</w:t>
            </w:r>
          </w:p>
        </w:tc>
        <w:tc>
          <w:tcPr>
            <w:tcW w:w="1193" w:type="dxa"/>
            <w:shd w:val="clear" w:color="auto" w:fill="auto"/>
            <w:noWrap/>
            <w:hideMark/>
          </w:tcPr>
          <w:p w:rsidR="008735E1" w:rsidRPr="0097128A" w:rsidRDefault="008735E1" w:rsidP="00EE631A">
            <w:pPr>
              <w:jc w:val="center"/>
              <w:rPr>
                <w:rFonts w:eastAsia="Malgun Gothic"/>
              </w:rPr>
            </w:pP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22000</w:t>
            </w:r>
          </w:p>
        </w:tc>
        <w:tc>
          <w:tcPr>
            <w:tcW w:w="1134"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22000</w:t>
            </w:r>
          </w:p>
        </w:tc>
        <w:tc>
          <w:tcPr>
            <w:tcW w:w="1208" w:type="dxa"/>
            <w:shd w:val="clear" w:color="auto" w:fill="auto"/>
            <w:noWrap/>
            <w:vAlign w:val="bottom"/>
            <w:hideMark/>
          </w:tcPr>
          <w:p w:rsidR="008735E1" w:rsidRPr="0097128A" w:rsidRDefault="008735E1" w:rsidP="00EE631A">
            <w:pPr>
              <w:jc w:val="center"/>
              <w:rPr>
                <w:rFonts w:eastAsia="Malgun Gothic"/>
              </w:rPr>
            </w:pPr>
            <w:r w:rsidRPr="002B32C5">
              <w:rPr>
                <w:rFonts w:eastAsia="Malgun Gothic"/>
              </w:rPr>
              <w:t>22000</w:t>
            </w:r>
          </w:p>
        </w:tc>
      </w:tr>
    </w:tbl>
    <w:p w:rsidR="008735E1" w:rsidRDefault="008735E1" w:rsidP="008735E1">
      <w:pPr>
        <w:rPr>
          <w:rFonts w:eastAsia="Malgun Gothic"/>
        </w:rPr>
      </w:pPr>
    </w:p>
    <w:p w:rsidR="008735E1" w:rsidRDefault="008735E1" w:rsidP="008735E1">
      <w:r w:rsidRPr="00C46C1D">
        <w:t xml:space="preserve">The estimated lifetime in years are presented </w:t>
      </w:r>
      <w:r>
        <w:t>for</w:t>
      </w:r>
      <w:r w:rsidRPr="00C46C1D">
        <w:t xml:space="preserve"> two different packet sizes, two reporting intervals and at different cove</w:t>
      </w:r>
      <w:r>
        <w:t>rage.</w:t>
      </w:r>
    </w:p>
    <w:p w:rsidR="008735E1" w:rsidRPr="002B32C5" w:rsidRDefault="008735E1" w:rsidP="008735E1">
      <w:pPr>
        <w:pStyle w:val="Caption"/>
        <w:keepNext/>
        <w:rPr>
          <w:rFonts w:ascii="Arial" w:hAnsi="Arial"/>
        </w:rPr>
      </w:pPr>
      <w:r w:rsidRPr="0068411F">
        <w:rPr>
          <w:rFonts w:ascii="Arial" w:hAnsi="Arial"/>
        </w:rPr>
        <w:t>Table</w:t>
      </w:r>
      <w:r>
        <w:rPr>
          <w:rFonts w:ascii="Arial" w:hAnsi="Arial"/>
          <w:lang w:val="en-US"/>
        </w:rPr>
        <w:t xml:space="preserve"> </w:t>
      </w:r>
      <w:r w:rsidR="00753A94">
        <w:rPr>
          <w:rFonts w:ascii="Arial" w:hAnsi="Arial"/>
          <w:lang w:val="en-US"/>
        </w:rPr>
        <w:t>2</w:t>
      </w:r>
      <w:r w:rsidRPr="0068411F">
        <w:rPr>
          <w:rFonts w:ascii="Arial" w:hAnsi="Arial"/>
        </w:rPr>
        <w:t xml:space="preserve">: </w:t>
      </w:r>
      <w:r w:rsidRPr="002B32C5">
        <w:rPr>
          <w:rFonts w:ascii="Arial" w:hAnsi="Arial"/>
        </w:rPr>
        <w:t>Estimated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8735E1" w:rsidRPr="00067982" w:rsidTr="00EE631A">
        <w:trPr>
          <w:trHeight w:val="763"/>
          <w:jc w:val="center"/>
        </w:trPr>
        <w:tc>
          <w:tcPr>
            <w:tcW w:w="2286" w:type="dxa"/>
            <w:shd w:val="clear" w:color="auto" w:fill="auto"/>
            <w:vAlign w:val="center"/>
          </w:tcPr>
          <w:p w:rsidR="008735E1" w:rsidRPr="005D561C" w:rsidRDefault="008735E1" w:rsidP="00EE631A">
            <w:pPr>
              <w:jc w:val="center"/>
              <w:rPr>
                <w:b/>
              </w:rPr>
            </w:pPr>
            <w:r w:rsidRPr="005D561C">
              <w:rPr>
                <w:b/>
              </w:rPr>
              <w:t>Packet size, reporting interval</w:t>
            </w:r>
          </w:p>
        </w:tc>
        <w:tc>
          <w:tcPr>
            <w:tcW w:w="1843" w:type="dxa"/>
            <w:tcBorders>
              <w:bottom w:val="single" w:sz="4" w:space="0" w:color="auto"/>
            </w:tcBorders>
            <w:shd w:val="clear" w:color="auto" w:fill="auto"/>
            <w:vAlign w:val="center"/>
          </w:tcPr>
          <w:p w:rsidR="008735E1" w:rsidRPr="005D561C" w:rsidRDefault="008735E1" w:rsidP="00EE631A">
            <w:pPr>
              <w:jc w:val="center"/>
              <w:rPr>
                <w:b/>
              </w:rPr>
            </w:pPr>
            <w:r w:rsidRPr="004B30BE">
              <w:rPr>
                <w:b/>
              </w:rPr>
              <w:t xml:space="preserve"> 14</w:t>
            </w:r>
            <w:r>
              <w:rPr>
                <w:b/>
              </w:rPr>
              <w:t>4</w:t>
            </w:r>
            <w:r w:rsidRPr="004B30BE">
              <w:rPr>
                <w:b/>
              </w:rPr>
              <w:t xml:space="preserve"> dB</w:t>
            </w:r>
          </w:p>
        </w:tc>
        <w:tc>
          <w:tcPr>
            <w:tcW w:w="1843" w:type="dxa"/>
            <w:tcBorders>
              <w:bottom w:val="single" w:sz="4" w:space="0" w:color="auto"/>
            </w:tcBorders>
            <w:shd w:val="clear" w:color="auto" w:fill="auto"/>
            <w:vAlign w:val="center"/>
          </w:tcPr>
          <w:p w:rsidR="008735E1" w:rsidRPr="005D561C" w:rsidRDefault="008735E1" w:rsidP="00EE631A">
            <w:pPr>
              <w:jc w:val="center"/>
              <w:rPr>
                <w:b/>
              </w:rPr>
            </w:pPr>
            <w:r w:rsidRPr="004B30BE">
              <w:rPr>
                <w:b/>
              </w:rPr>
              <w:t>154 dB</w:t>
            </w:r>
          </w:p>
        </w:tc>
        <w:tc>
          <w:tcPr>
            <w:tcW w:w="1843" w:type="dxa"/>
            <w:tcBorders>
              <w:bottom w:val="single" w:sz="4" w:space="0" w:color="auto"/>
            </w:tcBorders>
            <w:shd w:val="clear" w:color="auto" w:fill="auto"/>
            <w:vAlign w:val="center"/>
          </w:tcPr>
          <w:p w:rsidR="008735E1" w:rsidRPr="004B30BE" w:rsidRDefault="008735E1" w:rsidP="00EE631A">
            <w:pPr>
              <w:jc w:val="center"/>
              <w:rPr>
                <w:b/>
              </w:rPr>
            </w:pPr>
            <w:r w:rsidRPr="004B30BE">
              <w:rPr>
                <w:b/>
              </w:rPr>
              <w:t>164 dB</w:t>
            </w:r>
          </w:p>
        </w:tc>
      </w:tr>
      <w:tr w:rsidR="00933CC7" w:rsidRPr="00067982" w:rsidTr="00933CC7">
        <w:trPr>
          <w:jc w:val="center"/>
        </w:trPr>
        <w:tc>
          <w:tcPr>
            <w:tcW w:w="2286" w:type="dxa"/>
            <w:vAlign w:val="center"/>
          </w:tcPr>
          <w:p w:rsidR="00933CC7" w:rsidRPr="005D561C" w:rsidRDefault="00933CC7" w:rsidP="00EE631A">
            <w:pPr>
              <w:jc w:val="center"/>
            </w:pPr>
            <w:r>
              <w:rPr>
                <w:color w:val="000000"/>
              </w:rPr>
              <w:t>50 bytes, 2 hours</w:t>
            </w:r>
          </w:p>
        </w:tc>
        <w:tc>
          <w:tcPr>
            <w:tcW w:w="1843" w:type="dxa"/>
            <w:shd w:val="clear" w:color="auto" w:fill="D6E3BC"/>
          </w:tcPr>
          <w:p w:rsidR="00933CC7" w:rsidRPr="00025AA9" w:rsidRDefault="00933CC7" w:rsidP="00EE631A">
            <w:pPr>
              <w:jc w:val="center"/>
              <w:rPr>
                <w:color w:val="000000"/>
              </w:rPr>
            </w:pPr>
            <w:r w:rsidRPr="00492051">
              <w:t>17.9</w:t>
            </w:r>
          </w:p>
        </w:tc>
        <w:tc>
          <w:tcPr>
            <w:tcW w:w="1843" w:type="dxa"/>
            <w:shd w:val="clear" w:color="auto" w:fill="E5B8B7"/>
          </w:tcPr>
          <w:p w:rsidR="00933CC7" w:rsidRPr="00025AA9" w:rsidRDefault="00933CC7" w:rsidP="00EE631A">
            <w:pPr>
              <w:jc w:val="center"/>
              <w:rPr>
                <w:color w:val="000000"/>
              </w:rPr>
            </w:pPr>
            <w:r w:rsidRPr="00492051">
              <w:t>9.8</w:t>
            </w:r>
          </w:p>
        </w:tc>
        <w:tc>
          <w:tcPr>
            <w:tcW w:w="1843" w:type="dxa"/>
            <w:shd w:val="clear" w:color="auto" w:fill="E5B8B7"/>
          </w:tcPr>
          <w:p w:rsidR="00933CC7" w:rsidRPr="00025AA9" w:rsidRDefault="00933CC7" w:rsidP="00F313B8">
            <w:pPr>
              <w:jc w:val="center"/>
              <w:rPr>
                <w:color w:val="000000"/>
              </w:rPr>
            </w:pPr>
            <w:r w:rsidRPr="00492051">
              <w:t>2.</w:t>
            </w:r>
            <w:r w:rsidR="00F313B8">
              <w:t>4</w:t>
            </w:r>
          </w:p>
        </w:tc>
      </w:tr>
      <w:tr w:rsidR="00933CC7" w:rsidRPr="00067982" w:rsidTr="00933CC7">
        <w:trPr>
          <w:trHeight w:val="404"/>
          <w:jc w:val="center"/>
        </w:trPr>
        <w:tc>
          <w:tcPr>
            <w:tcW w:w="2286" w:type="dxa"/>
            <w:vAlign w:val="center"/>
          </w:tcPr>
          <w:p w:rsidR="00933CC7" w:rsidRPr="005D561C" w:rsidRDefault="00933CC7" w:rsidP="00EE631A">
            <w:pPr>
              <w:jc w:val="center"/>
            </w:pPr>
            <w:r>
              <w:rPr>
                <w:color w:val="000000"/>
              </w:rPr>
              <w:t>200 bytes, 2 hours</w:t>
            </w:r>
          </w:p>
        </w:tc>
        <w:tc>
          <w:tcPr>
            <w:tcW w:w="1843" w:type="dxa"/>
            <w:shd w:val="clear" w:color="auto" w:fill="D6E3BC"/>
          </w:tcPr>
          <w:p w:rsidR="00933CC7" w:rsidRPr="00025AA9" w:rsidRDefault="00933CC7" w:rsidP="00EE631A">
            <w:pPr>
              <w:jc w:val="center"/>
              <w:rPr>
                <w:color w:val="000000"/>
              </w:rPr>
            </w:pPr>
            <w:r w:rsidRPr="00492051">
              <w:t>16.7</w:t>
            </w:r>
          </w:p>
        </w:tc>
        <w:tc>
          <w:tcPr>
            <w:tcW w:w="1843" w:type="dxa"/>
            <w:tcBorders>
              <w:bottom w:val="single" w:sz="4" w:space="0" w:color="auto"/>
            </w:tcBorders>
            <w:shd w:val="clear" w:color="auto" w:fill="E5B8B7"/>
          </w:tcPr>
          <w:p w:rsidR="00933CC7" w:rsidRPr="00025AA9" w:rsidRDefault="00933CC7" w:rsidP="00EE631A">
            <w:pPr>
              <w:jc w:val="center"/>
              <w:rPr>
                <w:color w:val="000000"/>
              </w:rPr>
            </w:pPr>
            <w:r w:rsidRPr="00492051">
              <w:t>5.2</w:t>
            </w:r>
          </w:p>
        </w:tc>
        <w:tc>
          <w:tcPr>
            <w:tcW w:w="1843" w:type="dxa"/>
            <w:tcBorders>
              <w:bottom w:val="single" w:sz="4" w:space="0" w:color="auto"/>
            </w:tcBorders>
            <w:shd w:val="clear" w:color="auto" w:fill="E5B8B7"/>
          </w:tcPr>
          <w:p w:rsidR="00933CC7" w:rsidRPr="00025AA9" w:rsidRDefault="00933CC7" w:rsidP="00EE631A">
            <w:pPr>
              <w:jc w:val="center"/>
              <w:rPr>
                <w:color w:val="000000"/>
              </w:rPr>
            </w:pPr>
            <w:r w:rsidRPr="00492051">
              <w:t>1.2</w:t>
            </w:r>
          </w:p>
        </w:tc>
      </w:tr>
      <w:tr w:rsidR="00933CC7" w:rsidRPr="00067982" w:rsidTr="00933CC7">
        <w:trPr>
          <w:trHeight w:val="70"/>
          <w:jc w:val="center"/>
        </w:trPr>
        <w:tc>
          <w:tcPr>
            <w:tcW w:w="2286" w:type="dxa"/>
            <w:vAlign w:val="center"/>
          </w:tcPr>
          <w:p w:rsidR="00933CC7" w:rsidRPr="005D561C" w:rsidRDefault="00933CC7" w:rsidP="00EE631A">
            <w:pPr>
              <w:jc w:val="center"/>
            </w:pPr>
            <w:r>
              <w:rPr>
                <w:color w:val="000000"/>
              </w:rPr>
              <w:t>50 bytes, 1 day</w:t>
            </w:r>
          </w:p>
        </w:tc>
        <w:tc>
          <w:tcPr>
            <w:tcW w:w="1843" w:type="dxa"/>
            <w:shd w:val="clear" w:color="auto" w:fill="D6E3BC"/>
          </w:tcPr>
          <w:p w:rsidR="00933CC7" w:rsidRPr="00025AA9" w:rsidRDefault="00933CC7" w:rsidP="00EE631A">
            <w:pPr>
              <w:jc w:val="center"/>
              <w:rPr>
                <w:color w:val="000000"/>
              </w:rPr>
            </w:pPr>
            <w:r w:rsidRPr="00492051">
              <w:t>34.8</w:t>
            </w:r>
          </w:p>
        </w:tc>
        <w:tc>
          <w:tcPr>
            <w:tcW w:w="1843" w:type="dxa"/>
            <w:shd w:val="clear" w:color="auto" w:fill="D6E3BC"/>
          </w:tcPr>
          <w:p w:rsidR="00933CC7" w:rsidRPr="00025AA9" w:rsidRDefault="00933CC7" w:rsidP="00EE631A">
            <w:pPr>
              <w:jc w:val="center"/>
              <w:rPr>
                <w:color w:val="000000"/>
              </w:rPr>
            </w:pPr>
            <w:r w:rsidRPr="00492051">
              <w:t>30.6</w:t>
            </w:r>
          </w:p>
        </w:tc>
        <w:tc>
          <w:tcPr>
            <w:tcW w:w="1843" w:type="dxa"/>
            <w:shd w:val="clear" w:color="auto" w:fill="D6E3BC"/>
          </w:tcPr>
          <w:p w:rsidR="00933CC7" w:rsidRPr="00025AA9" w:rsidRDefault="00933CC7" w:rsidP="00EE631A">
            <w:pPr>
              <w:jc w:val="center"/>
              <w:rPr>
                <w:color w:val="000000"/>
              </w:rPr>
            </w:pPr>
            <w:r w:rsidRPr="00492051">
              <w:t>17.2</w:t>
            </w:r>
          </w:p>
        </w:tc>
      </w:tr>
      <w:tr w:rsidR="00933CC7" w:rsidRPr="00067982" w:rsidTr="00933CC7">
        <w:trPr>
          <w:jc w:val="center"/>
        </w:trPr>
        <w:tc>
          <w:tcPr>
            <w:tcW w:w="2286" w:type="dxa"/>
            <w:vAlign w:val="center"/>
          </w:tcPr>
          <w:p w:rsidR="00933CC7" w:rsidRPr="005D561C" w:rsidRDefault="00933CC7" w:rsidP="00EE631A">
            <w:pPr>
              <w:jc w:val="center"/>
            </w:pPr>
            <w:r>
              <w:rPr>
                <w:color w:val="000000"/>
              </w:rPr>
              <w:t>200 bytes, 1 day</w:t>
            </w:r>
          </w:p>
        </w:tc>
        <w:tc>
          <w:tcPr>
            <w:tcW w:w="1843" w:type="dxa"/>
            <w:shd w:val="clear" w:color="auto" w:fill="D6E3BC"/>
          </w:tcPr>
          <w:p w:rsidR="00933CC7" w:rsidRPr="00025AA9" w:rsidRDefault="00933CC7" w:rsidP="00EE631A">
            <w:pPr>
              <w:jc w:val="center"/>
              <w:rPr>
                <w:color w:val="000000"/>
              </w:rPr>
            </w:pPr>
            <w:r w:rsidRPr="00492051">
              <w:t>34.4</w:t>
            </w:r>
          </w:p>
        </w:tc>
        <w:tc>
          <w:tcPr>
            <w:tcW w:w="1843" w:type="dxa"/>
            <w:tcBorders>
              <w:bottom w:val="single" w:sz="4" w:space="0" w:color="auto"/>
            </w:tcBorders>
            <w:shd w:val="clear" w:color="auto" w:fill="D6E3BC"/>
          </w:tcPr>
          <w:p w:rsidR="00933CC7" w:rsidRPr="00025AA9" w:rsidRDefault="00933CC7" w:rsidP="00EE631A">
            <w:pPr>
              <w:jc w:val="center"/>
              <w:rPr>
                <w:color w:val="000000"/>
              </w:rPr>
            </w:pPr>
            <w:r w:rsidRPr="00492051">
              <w:t>25.0</w:t>
            </w:r>
          </w:p>
        </w:tc>
        <w:tc>
          <w:tcPr>
            <w:tcW w:w="1843" w:type="dxa"/>
            <w:tcBorders>
              <w:bottom w:val="single" w:sz="4" w:space="0" w:color="auto"/>
            </w:tcBorders>
            <w:shd w:val="clear" w:color="auto" w:fill="D6E3BC"/>
          </w:tcPr>
          <w:p w:rsidR="00933CC7" w:rsidRPr="00025AA9" w:rsidRDefault="00933CC7" w:rsidP="00EE631A">
            <w:pPr>
              <w:jc w:val="center"/>
              <w:rPr>
                <w:color w:val="000000"/>
              </w:rPr>
            </w:pPr>
            <w:r w:rsidRPr="00492051">
              <w:t>10.8</w:t>
            </w:r>
          </w:p>
        </w:tc>
      </w:tr>
    </w:tbl>
    <w:p w:rsidR="008735E1" w:rsidRDefault="008735E1" w:rsidP="008735E1">
      <w:pPr>
        <w:rPr>
          <w:rFonts w:eastAsia="Malgun Gothic"/>
        </w:rPr>
      </w:pPr>
    </w:p>
    <w:p w:rsidR="008735E1" w:rsidRPr="0043291A" w:rsidRDefault="008735E1" w:rsidP="008735E1">
      <w:pPr>
        <w:rPr>
          <w:rFonts w:eastAsia="Malgun Gothic"/>
        </w:rPr>
      </w:pPr>
    </w:p>
    <w:p w:rsidR="008735E1" w:rsidRDefault="008735E1" w:rsidP="008735E1">
      <w:pPr>
        <w:pStyle w:val="Heading1"/>
      </w:pPr>
      <w:r>
        <w:t>Conclusions</w:t>
      </w:r>
    </w:p>
    <w:p w:rsidR="008735E1" w:rsidRPr="00D60E4F" w:rsidRDefault="008735E1" w:rsidP="008735E1">
      <w:pPr>
        <w:rPr>
          <w:rFonts w:eastAsia="Malgun Gothic"/>
        </w:rPr>
      </w:pPr>
      <w:r>
        <w:t>The energy consumption evaluation shows that the 10 year battery life objective can be met or exceeded for many of the studied traffic scenarios.</w:t>
      </w:r>
    </w:p>
    <w:p w:rsidR="001B4C46" w:rsidRPr="00763114" w:rsidRDefault="001B4C46" w:rsidP="001B4C46">
      <w:pPr>
        <w:pStyle w:val="Heading1"/>
      </w:pPr>
      <w:r w:rsidRPr="00763114">
        <w:t>References</w:t>
      </w:r>
    </w:p>
    <w:p w:rsidR="001B4C46" w:rsidRPr="00681F5C" w:rsidRDefault="001B4C46" w:rsidP="001B4C46">
      <w:pPr>
        <w:pStyle w:val="Reference"/>
        <w:rPr>
          <w:rFonts w:ascii="Times New Roman" w:hAnsi="Times New Roman" w:cs="Times New Roman"/>
        </w:rPr>
      </w:pPr>
      <w:bookmarkStart w:id="8"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8"/>
    </w:p>
    <w:p w:rsidR="006B214D" w:rsidRPr="006B214D" w:rsidRDefault="006B214D" w:rsidP="006B214D">
      <w:pPr>
        <w:pStyle w:val="Reference"/>
        <w:rPr>
          <w:rFonts w:ascii="Times New Roman" w:hAnsi="Times New Roman" w:cs="Times New Roman"/>
        </w:rPr>
      </w:pPr>
      <w:bookmarkStart w:id="9" w:name="_Ref431245969"/>
      <w:bookmarkStart w:id="10" w:name="_Ref429466372"/>
      <w:r w:rsidRPr="006B214D">
        <w:rPr>
          <w:rFonts w:ascii="Times New Roman" w:hAnsi="Times New Roman" w:cs="Times New Roman"/>
        </w:rPr>
        <w:t>R1-156010, “NB-LTE – General L1 concept description”, Ericsson</w:t>
      </w:r>
      <w:bookmarkEnd w:id="9"/>
    </w:p>
    <w:p w:rsidR="004A765D" w:rsidRDefault="00E73CDE" w:rsidP="002F21CD">
      <w:pPr>
        <w:pStyle w:val="Reference"/>
        <w:rPr>
          <w:rFonts w:ascii="Times New Roman" w:hAnsi="Times New Roman" w:cs="Times New Roman"/>
        </w:rPr>
      </w:pPr>
      <w:bookmarkStart w:id="11" w:name="_Ref431246495"/>
      <w:bookmarkEnd w:id="5"/>
      <w:bookmarkEnd w:id="6"/>
      <w:bookmarkEnd w:id="10"/>
      <w:r w:rsidRPr="00E73CDE">
        <w:rPr>
          <w:rFonts w:ascii="Times New Roman" w:hAnsi="Times New Roman" w:cs="Times New Roman"/>
        </w:rPr>
        <w:lastRenderedPageBreak/>
        <w:t>R1-1560</w:t>
      </w:r>
      <w:r w:rsidR="002F21CD">
        <w:rPr>
          <w:rFonts w:ascii="Times New Roman" w:hAnsi="Times New Roman" w:cs="Times New Roman"/>
        </w:rPr>
        <w:t>06</w:t>
      </w:r>
      <w:r>
        <w:rPr>
          <w:rFonts w:ascii="Times New Roman" w:hAnsi="Times New Roman" w:cs="Times New Roman"/>
        </w:rPr>
        <w:t>, “</w:t>
      </w:r>
      <w:r w:rsidRPr="00E73CDE">
        <w:rPr>
          <w:rFonts w:ascii="Times New Roman" w:hAnsi="Times New Roman" w:cs="Times New Roman"/>
        </w:rPr>
        <w:t xml:space="preserve">NB LTE – Battery lifetime evaluation in stand-alone </w:t>
      </w:r>
      <w:proofErr w:type="spellStart"/>
      <w:r w:rsidRPr="00E73CDE">
        <w:rPr>
          <w:rFonts w:ascii="Times New Roman" w:hAnsi="Times New Roman" w:cs="Times New Roman"/>
        </w:rPr>
        <w:t>operation</w:t>
      </w:r>
      <w:r>
        <w:rPr>
          <w:rFonts w:ascii="Times New Roman" w:hAnsi="Times New Roman" w:cs="Times New Roman"/>
        </w:rPr>
        <w:t>”,</w:t>
      </w:r>
      <w:bookmarkEnd w:id="11"/>
      <w:r w:rsidR="002F21CD" w:rsidRPr="002F21CD">
        <w:rPr>
          <w:rFonts w:ascii="Times New Roman" w:hAnsi="Times New Roman" w:cs="Times New Roman"/>
        </w:rPr>
        <w:t>Ericsson</w:t>
      </w:r>
      <w:proofErr w:type="spellEnd"/>
      <w:r w:rsidR="002F21CD" w:rsidRPr="002F21CD">
        <w:rPr>
          <w:rFonts w:ascii="Times New Roman" w:hAnsi="Times New Roman" w:cs="Times New Roman"/>
        </w:rPr>
        <w:t>, ZTE, Alcatel-Lucent, Alcatel-Lucent Shangh</w:t>
      </w:r>
      <w:r w:rsidR="002F21CD">
        <w:rPr>
          <w:rFonts w:ascii="Times New Roman" w:hAnsi="Times New Roman" w:cs="Times New Roman"/>
        </w:rPr>
        <w:t xml:space="preserve">ai Bell, Nokia, Intel, Samsung, </w:t>
      </w:r>
      <w:r w:rsidR="002F21CD" w:rsidRPr="002F21CD">
        <w:rPr>
          <w:rFonts w:ascii="Times New Roman" w:hAnsi="Times New Roman" w:cs="Times New Roman"/>
        </w:rPr>
        <w:t>LGE</w:t>
      </w:r>
    </w:p>
    <w:p w:rsidR="0091339F" w:rsidRDefault="0091339F" w:rsidP="0091339F">
      <w:pPr>
        <w:pStyle w:val="Reference"/>
        <w:rPr>
          <w:rFonts w:ascii="Times New Roman" w:hAnsi="Times New Roman" w:cs="Times New Roman"/>
        </w:rPr>
      </w:pPr>
      <w:bookmarkStart w:id="12" w:name="_Ref431251599"/>
      <w:r w:rsidRPr="0091339F">
        <w:rPr>
          <w:rFonts w:ascii="Times New Roman" w:hAnsi="Times New Roman" w:cs="Times New Roman"/>
        </w:rPr>
        <w:t>R1-156009</w:t>
      </w:r>
      <w:r>
        <w:rPr>
          <w:rFonts w:ascii="Times New Roman" w:hAnsi="Times New Roman" w:cs="Times New Roman"/>
        </w:rPr>
        <w:t>, “</w:t>
      </w:r>
      <w:r w:rsidRPr="0091339F">
        <w:rPr>
          <w:rFonts w:ascii="Times New Roman" w:hAnsi="Times New Roman" w:cs="Times New Roman"/>
        </w:rPr>
        <w:t>NB-LTE – Synchronization channel design and performance</w:t>
      </w:r>
      <w:r>
        <w:rPr>
          <w:rFonts w:ascii="Times New Roman" w:hAnsi="Times New Roman" w:cs="Times New Roman"/>
        </w:rPr>
        <w:t>”, Ericsson</w:t>
      </w:r>
      <w:bookmarkEnd w:id="12"/>
    </w:p>
    <w:p w:rsidR="00DC271D" w:rsidRPr="00FC222E" w:rsidRDefault="00DC271D" w:rsidP="0091339F">
      <w:pPr>
        <w:pStyle w:val="Reference"/>
        <w:rPr>
          <w:rFonts w:ascii="Times New Roman" w:hAnsi="Times New Roman" w:cs="Times New Roman"/>
        </w:rPr>
      </w:pPr>
      <w:bookmarkStart w:id="13" w:name="_Ref431246216"/>
      <w:r w:rsidRPr="005649D5">
        <w:rPr>
          <w:rFonts w:ascii="Times New Roman" w:hAnsi="Times New Roman" w:cs="Times New Roman"/>
        </w:rPr>
        <w:t>R1-15601</w:t>
      </w:r>
      <w:r>
        <w:rPr>
          <w:rFonts w:ascii="Times New Roman" w:hAnsi="Times New Roman" w:cs="Times New Roman"/>
        </w:rPr>
        <w:t>8</w:t>
      </w:r>
      <w:r w:rsidRPr="005649D5">
        <w:rPr>
          <w:rFonts w:ascii="Times New Roman" w:hAnsi="Times New Roman" w:cs="Times New Roman"/>
        </w:rPr>
        <w:t xml:space="preserve">, “Coverage analysis in </w:t>
      </w:r>
      <w:proofErr w:type="spellStart"/>
      <w:r>
        <w:rPr>
          <w:rFonts w:ascii="Times New Roman" w:hAnsi="Times New Roman" w:cs="Times New Roman"/>
        </w:rPr>
        <w:t>inband</w:t>
      </w:r>
      <w:proofErr w:type="spellEnd"/>
      <w:r w:rsidRPr="005649D5">
        <w:rPr>
          <w:rFonts w:ascii="Times New Roman" w:hAnsi="Times New Roman" w:cs="Times New Roman"/>
        </w:rPr>
        <w:t xml:space="preserve"> operation”; Ericsson</w:t>
      </w:r>
      <w:bookmarkEnd w:id="13"/>
    </w:p>
    <w:sectPr w:rsidR="00DC271D" w:rsidRPr="00FC222E" w:rsidSect="00A4095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F9D" w:rsidRDefault="005D6F9D">
      <w:r>
        <w:separator/>
      </w:r>
    </w:p>
  </w:endnote>
  <w:endnote w:type="continuationSeparator" w:id="0">
    <w:p w:rsidR="005D6F9D" w:rsidRDefault="005D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778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77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F9D" w:rsidRDefault="005D6F9D">
      <w:r>
        <w:separator/>
      </w:r>
    </w:p>
  </w:footnote>
  <w:footnote w:type="continuationSeparator" w:id="0">
    <w:p w:rsidR="005D6F9D" w:rsidRDefault="005D6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8"/>
  </w:num>
  <w:num w:numId="3">
    <w:abstractNumId w:val="30"/>
  </w:num>
  <w:num w:numId="4">
    <w:abstractNumId w:val="38"/>
  </w:num>
  <w:num w:numId="5">
    <w:abstractNumId w:val="33"/>
  </w:num>
  <w:num w:numId="6">
    <w:abstractNumId w:val="40"/>
  </w:num>
  <w:num w:numId="7">
    <w:abstractNumId w:val="19"/>
  </w:num>
  <w:num w:numId="8">
    <w:abstractNumId w:val="17"/>
  </w:num>
  <w:num w:numId="9">
    <w:abstractNumId w:val="36"/>
  </w:num>
  <w:num w:numId="10">
    <w:abstractNumId w:val="21"/>
  </w:num>
  <w:num w:numId="11">
    <w:abstractNumId w:val="37"/>
  </w:num>
  <w:num w:numId="12">
    <w:abstractNumId w:val="34"/>
  </w:num>
  <w:num w:numId="13">
    <w:abstractNumId w:val="3"/>
  </w:num>
  <w:num w:numId="14">
    <w:abstractNumId w:val="5"/>
  </w:num>
  <w:num w:numId="15">
    <w:abstractNumId w:val="14"/>
  </w:num>
  <w:num w:numId="16">
    <w:abstractNumId w:val="27"/>
  </w:num>
  <w:num w:numId="17">
    <w:abstractNumId w:val="15"/>
  </w:num>
  <w:num w:numId="18">
    <w:abstractNumId w:val="6"/>
  </w:num>
  <w:num w:numId="19">
    <w:abstractNumId w:val="26"/>
  </w:num>
  <w:num w:numId="20">
    <w:abstractNumId w:val="18"/>
  </w:num>
  <w:num w:numId="21">
    <w:abstractNumId w:val="20"/>
  </w:num>
  <w:num w:numId="22">
    <w:abstractNumId w:val="7"/>
  </w:num>
  <w:num w:numId="23">
    <w:abstractNumId w:val="1"/>
  </w:num>
  <w:num w:numId="24">
    <w:abstractNumId w:val="24"/>
  </w:num>
  <w:num w:numId="25">
    <w:abstractNumId w:val="29"/>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1"/>
  </w:num>
  <w:num w:numId="33">
    <w:abstractNumId w:val="11"/>
  </w:num>
  <w:num w:numId="34">
    <w:abstractNumId w:val="10"/>
  </w:num>
  <w:num w:numId="35">
    <w:abstractNumId w:val="31"/>
  </w:num>
  <w:num w:numId="36">
    <w:abstractNumId w:val="39"/>
  </w:num>
  <w:num w:numId="37">
    <w:abstractNumId w:val="8"/>
  </w:num>
  <w:num w:numId="38">
    <w:abstractNumId w:val="13"/>
  </w:num>
  <w:num w:numId="39">
    <w:abstractNumId w:val="35"/>
  </w:num>
  <w:num w:numId="40">
    <w:abstractNumId w:val="2"/>
  </w:num>
  <w:num w:numId="41">
    <w:abstractNumId w:val="8"/>
  </w:num>
  <w:num w:numId="42">
    <w:abstractNumId w:val="23"/>
  </w:num>
  <w:num w:numId="43">
    <w:abstractNumId w:val="22"/>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778A"/>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21CD"/>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1F6"/>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83B01"/>
    <w:rsid w:val="00485B5D"/>
    <w:rsid w:val="00485C52"/>
    <w:rsid w:val="00493B2E"/>
    <w:rsid w:val="00493C74"/>
    <w:rsid w:val="00493F4A"/>
    <w:rsid w:val="0049434F"/>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6F9D"/>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1D7F"/>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33B"/>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B0D8F"/>
    <w:rsid w:val="00AB22FD"/>
    <w:rsid w:val="00AB2CC4"/>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5C03"/>
    <w:rsid w:val="00BD65D8"/>
    <w:rsid w:val="00BD6F66"/>
    <w:rsid w:val="00BD7673"/>
    <w:rsid w:val="00BE0B56"/>
    <w:rsid w:val="00BE12AA"/>
    <w:rsid w:val="00BE14AD"/>
    <w:rsid w:val="00BE2059"/>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B6856"/>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593"/>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271D"/>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4AAA"/>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13B8"/>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88FF-002D-49D9-BF59-8B7C9CF2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20</cp:revision>
  <cp:lastPrinted>2013-05-03T08:47:00Z</cp:lastPrinted>
  <dcterms:created xsi:type="dcterms:W3CDTF">2015-09-28T21:28:00Z</dcterms:created>
  <dcterms:modified xsi:type="dcterms:W3CDTF">2015-09-30T06:02:00Z</dcterms:modified>
</cp:coreProperties>
</file>